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9C" w:rsidRDefault="00A60ED5" w:rsidP="00750CBD">
      <w:pPr>
        <w:pStyle w:val="Heading1"/>
        <w:bidi/>
        <w:spacing w:after="0" w:afterAutospacing="0"/>
        <w:rPr>
          <w:rFonts w:ascii="Franklin Gothic Medium" w:hAnsi="Franklin Gothic Medium" w:cs="FrankRuehl"/>
          <w:b w:val="0"/>
          <w:bCs w:val="0"/>
          <w:sz w:val="36"/>
          <w:szCs w:val="36"/>
          <w:rtl/>
        </w:rPr>
      </w:pPr>
      <w:r>
        <w:rPr>
          <w:rFonts w:ascii="Franklin Gothic Medium" w:hAnsi="Franklin Gothic Medium" w:cs="FrankRuehl"/>
          <w:noProof/>
          <w:sz w:val="36"/>
          <w:szCs w:val="36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25pt;margin-top:-1pt;width:166.1pt;height:57.3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568CD" w:rsidRDefault="002568CD" w:rsidP="00750CBD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926590" cy="636707"/>
                        <wp:effectExtent l="19050" t="0" r="0" b="0"/>
                        <wp:docPr id="8" name="Picture 8" descr="K:\כללי\לוגו\mandel_heb_left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:\כללי\לוגו\mandel_heb_left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6590" cy="636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234D">
        <w:rPr>
          <w:rFonts w:ascii="Franklin Gothic Medium" w:hAnsi="Franklin Gothic Medium" w:cs="FrankRuehl"/>
          <w:b w:val="0"/>
          <w:bCs w:val="0"/>
          <w:noProof/>
          <w:sz w:val="36"/>
          <w:szCs w:val="36"/>
          <w:rtl/>
        </w:rPr>
        <w:drawing>
          <wp:inline distT="0" distB="0" distL="0" distR="0">
            <wp:extent cx="2436495" cy="619760"/>
            <wp:effectExtent l="19050" t="0" r="0" b="0"/>
            <wp:docPr id="1" name="Picture 1" descr="K:\כללי\לוגו\Copy of לוגו הפקולטה והאוניברסיטה אנגלי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כללי\לוגו\Copy of לוגו הפקולטה והאוניברסיטה אנגלי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9C" w:rsidRPr="00750CBD" w:rsidRDefault="00AC559C" w:rsidP="00AC559C">
      <w:pPr>
        <w:keepNext/>
        <w:spacing w:line="360" w:lineRule="auto"/>
        <w:jc w:val="center"/>
        <w:outlineLvl w:val="0"/>
        <w:rPr>
          <w:rFonts w:ascii="Franklin Gothic Medium" w:hAnsi="Franklin Gothic Medium" w:cs="FrankRuehl"/>
          <w:b/>
          <w:bCs/>
          <w:kern w:val="36"/>
          <w:sz w:val="36"/>
          <w:szCs w:val="36"/>
          <w:rtl/>
        </w:rPr>
      </w:pPr>
    </w:p>
    <w:p w:rsidR="00750CBD" w:rsidRDefault="00973EFC" w:rsidP="009B6774">
      <w:pPr>
        <w:spacing w:after="120"/>
        <w:jc w:val="center"/>
        <w:outlineLvl w:val="1"/>
        <w:rPr>
          <w:rFonts w:ascii="Book Antiqua" w:hAnsi="Book Antiqua" w:cs="David Transparent"/>
          <w:color w:val="000000"/>
          <w:sz w:val="32"/>
          <w:szCs w:val="32"/>
          <w:rtl/>
        </w:rPr>
      </w:pPr>
      <w:r w:rsidRPr="00973EFC">
        <w:rPr>
          <w:rFonts w:ascii="Book Antiqua" w:hAnsi="Book Antiqua" w:cs="David Transparent"/>
          <w:noProof/>
          <w:color w:val="000000"/>
          <w:sz w:val="32"/>
          <w:szCs w:val="32"/>
          <w:rtl/>
        </w:rPr>
        <w:drawing>
          <wp:inline distT="0" distB="0" distL="0" distR="0">
            <wp:extent cx="3533775" cy="1502550"/>
            <wp:effectExtent l="0" t="0" r="0" b="0"/>
            <wp:docPr id="2" name="Picture 2" descr="K:\כללי\לוגו\לוגו חדש 2014 עברי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כללי\לוגו\לוגו חדש 2014 עברי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65" cy="15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74" w:rsidRPr="00167D91" w:rsidRDefault="009B6774" w:rsidP="009B6774">
      <w:pPr>
        <w:spacing w:after="120"/>
        <w:jc w:val="center"/>
        <w:outlineLvl w:val="1"/>
        <w:rPr>
          <w:rFonts w:ascii="Book Antiqua" w:hAnsi="Book Antiqua" w:cs="David Transparent"/>
          <w:color w:val="000000"/>
          <w:sz w:val="32"/>
          <w:szCs w:val="32"/>
          <w:rtl/>
        </w:rPr>
      </w:pPr>
      <w:r w:rsidRPr="00167D91">
        <w:rPr>
          <w:rFonts w:ascii="Book Antiqua" w:hAnsi="Book Antiqua" w:cs="David Transparent" w:hint="cs"/>
          <w:color w:val="000000"/>
          <w:sz w:val="32"/>
          <w:szCs w:val="32"/>
          <w:rtl/>
        </w:rPr>
        <w:t>מכריז על</w:t>
      </w:r>
    </w:p>
    <w:p w:rsidR="009B6774" w:rsidRPr="00B762A2" w:rsidRDefault="00D601EE" w:rsidP="009B6774">
      <w:pPr>
        <w:spacing w:before="240" w:after="240"/>
        <w:jc w:val="center"/>
        <w:outlineLvl w:val="5"/>
        <w:rPr>
          <w:rFonts w:ascii="Book Antiqua" w:hAnsi="Book Antiqua" w:cs="David Transparent"/>
          <w:color w:val="000000"/>
          <w:sz w:val="60"/>
          <w:szCs w:val="60"/>
        </w:rPr>
      </w:pPr>
      <w:r w:rsidRPr="00B762A2">
        <w:rPr>
          <w:rFonts w:ascii="Book Antiqua" w:hAnsi="Book Antiqua" w:cs="David Transparent" w:hint="cs"/>
          <w:color w:val="000000"/>
          <w:sz w:val="60"/>
          <w:szCs w:val="60"/>
          <w:rtl/>
        </w:rPr>
        <w:t>מלגות מנדל</w:t>
      </w:r>
    </w:p>
    <w:p w:rsidR="00A23C54" w:rsidRDefault="00A23C54" w:rsidP="00AF206C">
      <w:pPr>
        <w:spacing w:after="120"/>
        <w:jc w:val="center"/>
        <w:rPr>
          <w:rFonts w:ascii="Book Antiqua" w:hAnsi="Book Antiqua" w:cs="David Transparent"/>
          <w:b/>
          <w:bCs/>
          <w:color w:val="000000"/>
          <w:sz w:val="36"/>
          <w:szCs w:val="36"/>
          <w:rtl/>
        </w:rPr>
      </w:pPr>
      <w:bookmarkStart w:id="0" w:name="OLE_LINK3"/>
      <w:bookmarkStart w:id="1" w:name="OLE_LINK4"/>
      <w:r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>ב</w:t>
      </w:r>
      <w:r w:rsidR="004422EA"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>מדעי הרוח</w:t>
      </w:r>
      <w:r w:rsidR="00A707FE"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 xml:space="preserve"> והיהדות</w:t>
      </w:r>
    </w:p>
    <w:p w:rsidR="00A23C54" w:rsidRDefault="00495CE6" w:rsidP="00AF206C">
      <w:pPr>
        <w:spacing w:after="360"/>
        <w:jc w:val="center"/>
        <w:rPr>
          <w:rFonts w:ascii="Book Antiqua" w:hAnsi="Book Antiqua" w:cs="David Transparent"/>
          <w:b/>
          <w:bCs/>
          <w:color w:val="000000"/>
          <w:sz w:val="36"/>
          <w:szCs w:val="36"/>
          <w:rtl/>
        </w:rPr>
      </w:pPr>
      <w:r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>לבעלי תואר דוקטור</w:t>
      </w:r>
      <w:r w:rsidR="00A23C54"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 xml:space="preserve"> מצטיינים</w:t>
      </w:r>
    </w:p>
    <w:p w:rsidR="00A23C54" w:rsidRDefault="00A141CF" w:rsidP="008B050B">
      <w:pPr>
        <w:jc w:val="center"/>
        <w:outlineLvl w:val="5"/>
        <w:rPr>
          <w:rFonts w:ascii="Book Antiqua" w:hAnsi="Book Antiqua" w:cs="David Transparent"/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>
        <w:rPr>
          <w:rFonts w:ascii="Book Antiqua" w:hAnsi="Book Antiqua" w:cs="David Transparent" w:hint="cs"/>
          <w:color w:val="000000"/>
          <w:sz w:val="28"/>
          <w:szCs w:val="28"/>
          <w:rtl/>
        </w:rPr>
        <w:t>לשנים תשע"</w:t>
      </w:r>
      <w:r w:rsidR="008B050B">
        <w:rPr>
          <w:rFonts w:ascii="Book Antiqua" w:hAnsi="Book Antiqua" w:cs="David Transparent" w:hint="cs"/>
          <w:color w:val="000000"/>
          <w:sz w:val="28"/>
          <w:szCs w:val="28"/>
          <w:rtl/>
        </w:rPr>
        <w:t>ז</w:t>
      </w:r>
      <w:r w:rsidR="004422EA">
        <w:rPr>
          <w:rFonts w:ascii="Book Antiqua" w:hAnsi="Book Antiqua" w:cs="David Transparent" w:hint="cs"/>
          <w:color w:val="000000"/>
          <w:sz w:val="28"/>
          <w:szCs w:val="28"/>
          <w:rtl/>
        </w:rPr>
        <w:t>-תשע"</w:t>
      </w:r>
      <w:r w:rsidR="008B050B">
        <w:rPr>
          <w:rFonts w:ascii="Book Antiqua" w:hAnsi="Book Antiqua" w:cs="David Transparent" w:hint="cs"/>
          <w:color w:val="000000"/>
          <w:sz w:val="28"/>
          <w:szCs w:val="28"/>
          <w:rtl/>
        </w:rPr>
        <w:t>ט</w:t>
      </w:r>
      <w:r w:rsidR="00A23C54">
        <w:rPr>
          <w:rFonts w:ascii="Book Antiqua" w:hAnsi="Book Antiqua" w:cs="David Transparent" w:hint="cs"/>
          <w:color w:val="000000"/>
          <w:sz w:val="28"/>
          <w:szCs w:val="28"/>
          <w:rtl/>
        </w:rPr>
        <w:t>, 201</w:t>
      </w:r>
      <w:r w:rsidR="008B050B">
        <w:rPr>
          <w:rFonts w:ascii="Book Antiqua" w:hAnsi="Book Antiqua" w:cs="David Transparent" w:hint="cs"/>
          <w:color w:val="000000"/>
          <w:sz w:val="28"/>
          <w:szCs w:val="28"/>
          <w:rtl/>
        </w:rPr>
        <w:t>9</w:t>
      </w:r>
      <w:r w:rsidR="00A23C54">
        <w:rPr>
          <w:rFonts w:ascii="Book Antiqua" w:hAnsi="Book Antiqua" w:cs="David Transparent" w:hint="cs"/>
          <w:color w:val="000000"/>
          <w:sz w:val="28"/>
          <w:szCs w:val="28"/>
          <w:rtl/>
        </w:rPr>
        <w:t>-201</w:t>
      </w:r>
      <w:r w:rsidR="008B050B">
        <w:rPr>
          <w:rFonts w:ascii="Book Antiqua" w:hAnsi="Book Antiqua" w:cs="David Transparent" w:hint="cs"/>
          <w:color w:val="000000"/>
          <w:sz w:val="28"/>
          <w:szCs w:val="28"/>
          <w:rtl/>
        </w:rPr>
        <w:t>6</w:t>
      </w:r>
    </w:p>
    <w:bookmarkEnd w:id="2"/>
    <w:bookmarkEnd w:id="3"/>
    <w:p w:rsidR="00AF206C" w:rsidRDefault="00AF206C" w:rsidP="009E5EF0">
      <w:pPr>
        <w:spacing w:before="240" w:after="240"/>
        <w:jc w:val="center"/>
        <w:outlineLvl w:val="5"/>
        <w:rPr>
          <w:rFonts w:ascii="Book Antiqua" w:hAnsi="Book Antiqua" w:cs="David Transparent"/>
          <w:color w:val="000000"/>
          <w:rtl/>
        </w:rPr>
      </w:pPr>
    </w:p>
    <w:p w:rsidR="002568CD" w:rsidRDefault="00901D29" w:rsidP="002568CD">
      <w:pPr>
        <w:numPr>
          <w:ilvl w:val="0"/>
          <w:numId w:val="1"/>
        </w:numPr>
        <w:spacing w:before="120" w:after="120" w:line="360" w:lineRule="auto"/>
        <w:jc w:val="both"/>
        <w:rPr>
          <w:rFonts w:ascii="Book Antiqua" w:hAnsi="Book Antiqua" w:cs="David Transparent"/>
          <w:color w:val="000000"/>
          <w:sz w:val="22"/>
          <w:szCs w:val="22"/>
        </w:rPr>
      </w:pP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>המלגות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מיועד</w:t>
      </w: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>ו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>ת לחוקרים מהארץ ומחו"ל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>ש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>הוכיחו מצוינוּת יוצאת דופן, עומק ומקוריות</w:t>
      </w:r>
      <w:r w:rsidR="00AF206C">
        <w:rPr>
          <w:rFonts w:ascii="Book Antiqua" w:hAnsi="Book Antiqua" w:cs="David Transparent" w:hint="cs"/>
          <w:color w:val="000000"/>
          <w:sz w:val="22"/>
          <w:szCs w:val="22"/>
          <w:rtl/>
        </w:rPr>
        <w:t>,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  <w:r w:rsidR="00A23C54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ואשר 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>מחקר</w:t>
      </w:r>
      <w:r w:rsidR="00D04583">
        <w:rPr>
          <w:rFonts w:ascii="Book Antiqua" w:hAnsi="Book Antiqua" w:cs="David Transparent" w:hint="cs"/>
          <w:color w:val="000000"/>
          <w:sz w:val="22"/>
          <w:szCs w:val="22"/>
          <w:rtl/>
        </w:rPr>
        <w:t>יהם</w:t>
      </w:r>
      <w:r w:rsidR="00A23C54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>עשוי</w:t>
      </w:r>
      <w:r w:rsidR="00D04583">
        <w:rPr>
          <w:rFonts w:ascii="Book Antiqua" w:hAnsi="Book Antiqua" w:cs="David Transparent" w:hint="cs"/>
          <w:color w:val="000000"/>
          <w:sz w:val="22"/>
          <w:szCs w:val="22"/>
          <w:rtl/>
        </w:rPr>
        <w:t>ים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להפרות את השיח האקדמי והתרבותי</w:t>
      </w:r>
      <w:r w:rsidR="00167D91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. </w:t>
      </w:r>
    </w:p>
    <w:p w:rsidR="00495CE6" w:rsidRPr="00181AD2" w:rsidRDefault="00495CE6" w:rsidP="005803F6">
      <w:pPr>
        <w:numPr>
          <w:ilvl w:val="0"/>
          <w:numId w:val="1"/>
        </w:numPr>
        <w:spacing w:before="120" w:after="120" w:line="360" w:lineRule="auto"/>
        <w:jc w:val="both"/>
        <w:rPr>
          <w:rFonts w:ascii="Book Antiqua" w:hAnsi="Book Antiqua" w:cs="David Transparent"/>
          <w:color w:val="000000"/>
          <w:sz w:val="22"/>
          <w:szCs w:val="22"/>
        </w:rPr>
      </w:pPr>
      <w:r w:rsidRPr="00495CE6">
        <w:rPr>
          <w:rFonts w:ascii="Book Antiqua" w:hAnsi="Book Antiqua" w:cs="David Transparent" w:hint="cs"/>
          <w:color w:val="000000"/>
          <w:sz w:val="22"/>
          <w:szCs w:val="22"/>
          <w:rtl/>
        </w:rPr>
        <w:t>רשאים להגיש מועמדות חוק</w:t>
      </w:r>
      <w:r w:rsidR="007C2563">
        <w:rPr>
          <w:rFonts w:ascii="Book Antiqua" w:hAnsi="Book Antiqua" w:cs="David Transparent" w:hint="cs"/>
          <w:color w:val="000000"/>
          <w:sz w:val="22"/>
          <w:szCs w:val="22"/>
          <w:rtl/>
        </w:rPr>
        <w:t>רים שקיבלו לא מכבר תואר דוקטור,</w:t>
      </w:r>
      <w:r w:rsidRPr="00495CE6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ולא לפני 1 באוקטובר </w:t>
      </w:r>
      <w:r w:rsidR="008B050B">
        <w:rPr>
          <w:rFonts w:ascii="Book Antiqua" w:hAnsi="Book Antiqua" w:cs="David Transparent" w:hint="cs"/>
          <w:color w:val="000000"/>
          <w:sz w:val="22"/>
          <w:szCs w:val="22"/>
          <w:rtl/>
        </w:rPr>
        <w:t>2011</w:t>
      </w:r>
      <w:r w:rsidRPr="00495CE6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. רשאים להגיש מועמדות גם חוקרים שטרם קיבלו את התואר, ובלבד שהגישו את עבודת הדוקטור </w:t>
      </w:r>
      <w:r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עד </w:t>
      </w:r>
      <w:r w:rsidR="005803F6"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>7</w:t>
      </w:r>
      <w:r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באוקטובר </w:t>
      </w:r>
      <w:r w:rsidR="008B050B"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>2015</w:t>
      </w:r>
      <w:r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. הזכייה במלגה מותנית בקבלת התואר עד 1 באפריל </w:t>
      </w:r>
      <w:r w:rsidR="008B050B"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>2016</w:t>
      </w:r>
      <w:r w:rsidRPr="00181AD2">
        <w:rPr>
          <w:rFonts w:ascii="Book Antiqua" w:hAnsi="Book Antiqua" w:cs="David Transparent" w:hint="cs"/>
          <w:color w:val="000000"/>
          <w:sz w:val="22"/>
          <w:szCs w:val="22"/>
          <w:rtl/>
        </w:rPr>
        <w:t>.</w:t>
      </w:r>
    </w:p>
    <w:p w:rsidR="0015003D" w:rsidRPr="009E5EF0" w:rsidRDefault="00A23C54" w:rsidP="00A60ED5">
      <w:pPr>
        <w:numPr>
          <w:ilvl w:val="0"/>
          <w:numId w:val="1"/>
        </w:numPr>
        <w:spacing w:before="120" w:after="120" w:line="360" w:lineRule="auto"/>
        <w:jc w:val="both"/>
        <w:rPr>
          <w:rFonts w:ascii="Book Antiqua" w:hAnsi="Book Antiqua" w:cs="David Transparent"/>
          <w:color w:val="000000"/>
          <w:sz w:val="20"/>
          <w:szCs w:val="20"/>
          <w:rtl/>
        </w:rPr>
      </w:pP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מלגאי מנדל 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>עוסקים</w:t>
      </w:r>
      <w:r w:rsidR="0015003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במחקר בתנאים </w:t>
      </w:r>
      <w:r w:rsidR="00A60ED5">
        <w:rPr>
          <w:rFonts w:ascii="Book Antiqua" w:hAnsi="Book Antiqua" w:cs="David Transparent" w:hint="cs"/>
          <w:color w:val="000000"/>
          <w:sz w:val="22"/>
          <w:szCs w:val="22"/>
          <w:rtl/>
        </w:rPr>
        <w:t>מיטביים</w:t>
      </w:r>
      <w:bookmarkStart w:id="4" w:name="_GoBack"/>
      <w:bookmarkEnd w:id="4"/>
      <w:r w:rsidR="00D601EE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>ומלמדים</w:t>
      </w:r>
      <w:r w:rsidR="00D601EE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קורס שנתי אחד (2 ש"ש).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ההוראה יכולה</w:t>
      </w:r>
      <w:r w:rsidR="0015003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להתנהל בשפה האנגלית</w:t>
      </w:r>
      <w:r w:rsidR="00AF206C">
        <w:rPr>
          <w:rFonts w:ascii="Book Antiqua" w:hAnsi="Book Antiqua" w:cs="David Transparent" w:hint="cs"/>
          <w:color w:val="000000"/>
          <w:sz w:val="20"/>
          <w:szCs w:val="20"/>
          <w:rtl/>
        </w:rPr>
        <w:t>.</w:t>
      </w:r>
    </w:p>
    <w:p w:rsidR="00131DBB" w:rsidRDefault="0015003D" w:rsidP="002568CD">
      <w:pPr>
        <w:numPr>
          <w:ilvl w:val="0"/>
          <w:numId w:val="1"/>
        </w:numPr>
        <w:spacing w:before="120" w:after="120" w:line="360" w:lineRule="auto"/>
        <w:jc w:val="both"/>
        <w:rPr>
          <w:rFonts w:ascii="Book Antiqua" w:hAnsi="Book Antiqua" w:cs="David Transparent"/>
          <w:color w:val="000000"/>
          <w:sz w:val="22"/>
          <w:szCs w:val="22"/>
        </w:rPr>
      </w:pP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מלגאי מנדל </w:t>
      </w:r>
      <w:r w:rsidR="002568CD">
        <w:rPr>
          <w:rFonts w:ascii="Book Antiqua" w:hAnsi="Book Antiqua" w:cs="David Transparent" w:hint="cs"/>
          <w:color w:val="000000"/>
          <w:sz w:val="22"/>
          <w:szCs w:val="22"/>
          <w:rtl/>
        </w:rPr>
        <w:t>מקבלים</w:t>
      </w: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  <w:r w:rsidR="001D4C0F">
        <w:rPr>
          <w:rFonts w:ascii="Book Antiqua" w:hAnsi="Book Antiqua" w:cs="David Transparent" w:hint="cs"/>
          <w:color w:val="000000"/>
          <w:sz w:val="22"/>
          <w:szCs w:val="22"/>
          <w:rtl/>
        </w:rPr>
        <w:t>בשנה כ-</w:t>
      </w: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>1</w:t>
      </w:r>
      <w:r w:rsidR="001D4C0F">
        <w:rPr>
          <w:rFonts w:ascii="Book Antiqua" w:hAnsi="Book Antiqua" w:cs="David Transparent" w:hint="cs"/>
          <w:color w:val="000000"/>
          <w:sz w:val="22"/>
          <w:szCs w:val="22"/>
          <w:rtl/>
        </w:rPr>
        <w:t>5</w:t>
      </w: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0,000 </w:t>
      </w:r>
      <w:r>
        <w:rPr>
          <w:rFonts w:ascii="Book Antiqua" w:hAnsi="Book Antiqua" w:cs="David Transparent" w:hint="eastAsia"/>
          <w:color w:val="000000"/>
          <w:sz w:val="22"/>
          <w:szCs w:val="22"/>
          <w:rtl/>
        </w:rPr>
        <w:t>₪</w:t>
      </w: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בתוספת תקציב מחקר</w:t>
      </w:r>
      <w:r w:rsidR="00AF206C">
        <w:rPr>
          <w:rFonts w:ascii="Book Antiqua" w:hAnsi="Book Antiqua" w:cs="David Transparent" w:hint="cs"/>
          <w:color w:val="000000"/>
          <w:sz w:val="22"/>
          <w:szCs w:val="22"/>
          <w:rtl/>
        </w:rPr>
        <w:t>.</w:t>
      </w:r>
    </w:p>
    <w:p w:rsidR="009B6774" w:rsidRPr="009E5EF0" w:rsidRDefault="00E04CC0" w:rsidP="008B050B">
      <w:pPr>
        <w:numPr>
          <w:ilvl w:val="0"/>
          <w:numId w:val="1"/>
        </w:numPr>
        <w:spacing w:before="120" w:after="120" w:line="360" w:lineRule="auto"/>
        <w:jc w:val="both"/>
        <w:rPr>
          <w:rFonts w:ascii="Book Antiqua" w:hAnsi="Book Antiqua" w:cs="David Transparent"/>
          <w:color w:val="000000"/>
          <w:sz w:val="22"/>
          <w:szCs w:val="22"/>
        </w:rPr>
      </w:pP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>המלגה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היא לשלוש שנים, ה</w:t>
      </w:r>
      <w:r w:rsidR="00167D91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>חל</w:t>
      </w:r>
      <w:r w:rsidR="009B6774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  <w:r w:rsidR="00167D91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בראשית </w:t>
      </w:r>
      <w:r w:rsidR="00AF206C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אוקטובר </w:t>
      </w:r>
      <w:r w:rsidR="008B050B">
        <w:rPr>
          <w:rFonts w:ascii="Book Antiqua" w:hAnsi="Book Antiqua" w:cs="David Transparent" w:hint="cs"/>
          <w:color w:val="000000"/>
          <w:sz w:val="22"/>
          <w:szCs w:val="22"/>
          <w:rtl/>
        </w:rPr>
        <w:t>2016</w:t>
      </w:r>
      <w:r w:rsidR="00AF206C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. </w:t>
      </w:r>
      <w:r w:rsidR="009B6774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קיימת אפשרות </w:t>
      </w:r>
      <w:r w:rsidR="000A1588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>ל</w:t>
      </w:r>
      <w:r w:rsidR="006D4C55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>קבלת המלגה למשך</w:t>
      </w:r>
      <w:r w:rsidR="00167D91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ש</w:t>
      </w:r>
      <w:r w:rsidR="000A1588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נה או </w:t>
      </w:r>
      <w:r w:rsidR="009B6774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>שנתיים</w:t>
      </w:r>
      <w:r w:rsidR="00167D91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בלבד</w:t>
      </w:r>
      <w:r w:rsidR="00AF206C">
        <w:rPr>
          <w:rFonts w:ascii="Book Antiqua" w:hAnsi="Book Antiqua" w:cs="David Transparent" w:hint="cs"/>
          <w:color w:val="000000"/>
          <w:sz w:val="22"/>
          <w:szCs w:val="22"/>
          <w:rtl/>
        </w:rPr>
        <w:t>.</w:t>
      </w:r>
      <w:r w:rsidR="009B6774" w:rsidRPr="009E5EF0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</w:t>
      </w:r>
    </w:p>
    <w:p w:rsidR="00131DBB" w:rsidRDefault="00901D29" w:rsidP="00131DBB">
      <w:pPr>
        <w:numPr>
          <w:ilvl w:val="0"/>
          <w:numId w:val="1"/>
        </w:numPr>
        <w:spacing w:before="120" w:after="120" w:line="360" w:lineRule="auto"/>
        <w:jc w:val="both"/>
        <w:rPr>
          <w:rFonts w:ascii="Book Antiqua" w:hAnsi="Book Antiqua" w:cs="David Transparent"/>
          <w:color w:val="000000"/>
          <w:sz w:val="22"/>
          <w:szCs w:val="22"/>
        </w:rPr>
      </w:pP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>המלגות</w:t>
      </w:r>
      <w:r w:rsidR="00131DBB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מוענק</w:t>
      </w:r>
      <w:r>
        <w:rPr>
          <w:rFonts w:ascii="Book Antiqua" w:hAnsi="Book Antiqua" w:cs="David Transparent" w:hint="cs"/>
          <w:color w:val="000000"/>
          <w:sz w:val="22"/>
          <w:szCs w:val="22"/>
          <w:rtl/>
        </w:rPr>
        <w:t>ו</w:t>
      </w:r>
      <w:r w:rsidR="00131DBB" w:rsidRPr="007C74ED">
        <w:rPr>
          <w:rFonts w:ascii="Book Antiqua" w:hAnsi="Book Antiqua" w:cs="David Transparent" w:hint="cs"/>
          <w:color w:val="000000"/>
          <w:sz w:val="22"/>
          <w:szCs w:val="22"/>
          <w:rtl/>
        </w:rPr>
        <w:t>ת על בסיס תחרותי וללא העדפה מראש של תחום מסוים</w:t>
      </w:r>
      <w:r w:rsidR="00AF206C">
        <w:rPr>
          <w:rFonts w:ascii="Book Antiqua" w:hAnsi="Book Antiqua" w:cs="David Transparent" w:hint="cs"/>
          <w:color w:val="000000"/>
          <w:sz w:val="22"/>
          <w:szCs w:val="22"/>
          <w:rtl/>
        </w:rPr>
        <w:t>.</w:t>
      </w:r>
      <w:r w:rsidR="00B9097E">
        <w:rPr>
          <w:rFonts w:ascii="Book Antiqua" w:hAnsi="Book Antiqua" w:cs="David Transparent" w:hint="cs"/>
          <w:color w:val="000000"/>
          <w:sz w:val="22"/>
          <w:szCs w:val="22"/>
          <w:rtl/>
        </w:rPr>
        <w:t xml:space="preserve">  </w:t>
      </w:r>
    </w:p>
    <w:p w:rsidR="006669C2" w:rsidRDefault="006669C2">
      <w:pPr>
        <w:shd w:val="clear" w:color="auto" w:fill="FFFFFF"/>
        <w:tabs>
          <w:tab w:val="num" w:pos="1440"/>
        </w:tabs>
        <w:spacing w:line="360" w:lineRule="auto"/>
        <w:jc w:val="center"/>
        <w:rPr>
          <w:rFonts w:cs="David Transparent"/>
          <w:color w:val="000000"/>
          <w:sz w:val="36"/>
          <w:szCs w:val="36"/>
          <w:rtl/>
        </w:rPr>
      </w:pPr>
    </w:p>
    <w:p w:rsidR="006669C2" w:rsidRDefault="006669C2">
      <w:pPr>
        <w:shd w:val="clear" w:color="auto" w:fill="FFFFFF"/>
        <w:tabs>
          <w:tab w:val="num" w:pos="1440"/>
        </w:tabs>
        <w:spacing w:line="360" w:lineRule="auto"/>
        <w:jc w:val="center"/>
        <w:rPr>
          <w:rFonts w:cs="David Transparent"/>
          <w:color w:val="000000"/>
          <w:sz w:val="36"/>
          <w:szCs w:val="36"/>
          <w:rtl/>
        </w:rPr>
      </w:pPr>
    </w:p>
    <w:p w:rsidR="006669C2" w:rsidRDefault="006669C2">
      <w:pPr>
        <w:shd w:val="clear" w:color="auto" w:fill="FFFFFF"/>
        <w:tabs>
          <w:tab w:val="num" w:pos="1440"/>
        </w:tabs>
        <w:spacing w:line="360" w:lineRule="auto"/>
        <w:jc w:val="center"/>
        <w:rPr>
          <w:rFonts w:cs="David Transparent"/>
          <w:color w:val="000000"/>
          <w:sz w:val="36"/>
          <w:szCs w:val="36"/>
          <w:rtl/>
        </w:rPr>
      </w:pPr>
    </w:p>
    <w:p w:rsidR="00920101" w:rsidRPr="001D4C0F" w:rsidRDefault="00880B59">
      <w:pPr>
        <w:shd w:val="clear" w:color="auto" w:fill="FFFFFF"/>
        <w:tabs>
          <w:tab w:val="num" w:pos="1440"/>
        </w:tabs>
        <w:spacing w:line="360" w:lineRule="auto"/>
        <w:jc w:val="center"/>
        <w:rPr>
          <w:rFonts w:cs="David Transparent"/>
          <w:color w:val="000000"/>
          <w:sz w:val="36"/>
          <w:szCs w:val="36"/>
        </w:rPr>
      </w:pPr>
      <w:r w:rsidRPr="001D4C0F">
        <w:rPr>
          <w:rFonts w:cs="David Transparent" w:hint="cs"/>
          <w:color w:val="000000"/>
          <w:sz w:val="36"/>
          <w:szCs w:val="36"/>
          <w:rtl/>
        </w:rPr>
        <w:lastRenderedPageBreak/>
        <w:t xml:space="preserve">תנאי </w:t>
      </w:r>
      <w:r w:rsidR="00690E0D" w:rsidRPr="001D4C0F">
        <w:rPr>
          <w:rFonts w:cs="David Transparent" w:hint="cs"/>
          <w:color w:val="000000"/>
          <w:sz w:val="36"/>
          <w:szCs w:val="36"/>
          <w:rtl/>
        </w:rPr>
        <w:t>המלגה</w:t>
      </w:r>
    </w:p>
    <w:p w:rsidR="00880B59" w:rsidRPr="007C74ED" w:rsidRDefault="00880B59" w:rsidP="000A636D">
      <w:pPr>
        <w:tabs>
          <w:tab w:val="num" w:pos="640"/>
        </w:tabs>
        <w:spacing w:line="360" w:lineRule="auto"/>
        <w:ind w:left="368" w:hanging="368"/>
        <w:jc w:val="both"/>
        <w:rPr>
          <w:rFonts w:ascii="Book Antiqua" w:eastAsia="Book Antiqua" w:hAnsi="Book Antiqua" w:cs="David Transparent"/>
          <w:color w:val="000000"/>
          <w:sz w:val="22"/>
          <w:szCs w:val="22"/>
        </w:rPr>
      </w:pPr>
      <w:r w:rsidRPr="007C74ED">
        <w:rPr>
          <w:rFonts w:eastAsia="Book Antiqua" w:cs="David Transparent" w:hint="cs"/>
          <w:color w:val="000000"/>
          <w:sz w:val="22"/>
          <w:szCs w:val="22"/>
          <w:rtl/>
        </w:rPr>
        <w:t>1.</w:t>
      </w:r>
      <w:r w:rsidR="007A13AE">
        <w:rPr>
          <w:rFonts w:eastAsia="Book Antiqua" w:cs="David Transparent" w:hint="cs"/>
          <w:color w:val="000000"/>
          <w:sz w:val="22"/>
          <w:szCs w:val="22"/>
          <w:rtl/>
        </w:rPr>
        <w:t xml:space="preserve"> </w:t>
      </w:r>
      <w:r w:rsidR="007A13AE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מלגאי</w:t>
      </w: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מנדל </w:t>
      </w:r>
      <w:r w:rsidR="00AF206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יקדישו </w:t>
      </w:r>
      <w:r w:rsidR="001D4C0F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את מרב זמנם</w:t>
      </w:r>
      <w:r w:rsidR="001D4C0F"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למחקר </w:t>
      </w:r>
      <w:r w:rsidR="000A636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ו</w:t>
      </w:r>
      <w:r w:rsidR="001D4C0F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אינם רשאים</w:t>
      </w: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לעבוד בשום ע</w:t>
      </w:r>
      <w:r w:rsidR="004422EA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בודה נוספת</w:t>
      </w:r>
      <w:r w:rsidR="00CB134E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, מלבד הורא</w:t>
      </w:r>
      <w:r w:rsidR="000A636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 בתוך האוניברסיטה כאמור.</w:t>
      </w:r>
      <w:r w:rsidR="000A636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</w:p>
    <w:p w:rsidR="00880B59" w:rsidRPr="007C74ED" w:rsidRDefault="00880B59" w:rsidP="006669C2">
      <w:pPr>
        <w:tabs>
          <w:tab w:val="num" w:pos="640"/>
        </w:tabs>
        <w:spacing w:line="360" w:lineRule="auto"/>
        <w:ind w:left="368" w:hanging="368"/>
        <w:jc w:val="both"/>
        <w:rPr>
          <w:rFonts w:ascii="Book Antiqua" w:eastAsia="Book Antiqua" w:hAnsi="Book Antiqua" w:cs="David Transparent"/>
          <w:color w:val="000000"/>
          <w:sz w:val="22"/>
          <w:szCs w:val="22"/>
        </w:rPr>
      </w:pPr>
      <w:r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2. </w:t>
      </w:r>
      <w:r w:rsidR="006669C2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המחקר יתנהל בבניין </w:t>
      </w:r>
      <w:r w:rsidR="00A141CF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מנדל</w:t>
      </w:r>
      <w:r w:rsidR="007A13AE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בקמפוס הר הצופים. </w:t>
      </w:r>
      <w:r w:rsid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לכל מלגאי </w:t>
      </w:r>
      <w:r w:rsidR="006669C2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יוקצו משרד ו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סביבת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עבודה</w:t>
      </w:r>
      <w:r w:rsidR="006669C2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והם יהיו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מקום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עבודת</w:t>
      </w:r>
      <w:r w:rsid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ו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באוניברסיטה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במשך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תקופת המלגה, ב</w:t>
      </w:r>
      <w:r w:rsidR="006669C2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ו</w:t>
      </w:r>
      <w:r w:rsid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יקיים את פעילותו המחקרית. המלגאים מחויבים לעבוד ב</w:t>
      </w:r>
      <w:r w:rsidR="006669C2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מרכז מנדל סכוליון </w:t>
      </w:r>
      <w:r w:rsid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ארבעה ימים בשבוע, וגם להשתתף ב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פעילות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המשותפת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של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 xml:space="preserve"> </w:t>
      </w:r>
      <w:r w:rsidR="0057752D"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המרכז</w:t>
      </w:r>
      <w:r w:rsidR="0057752D" w:rsidRPr="0057752D">
        <w:rPr>
          <w:rFonts w:ascii="Book Antiqua" w:eastAsia="Book Antiqua" w:hAnsi="Book Antiqua" w:cs="David Transparent"/>
          <w:color w:val="000000"/>
          <w:sz w:val="22"/>
          <w:szCs w:val="22"/>
        </w:rPr>
        <w:t>.</w:t>
      </w:r>
      <w:r w:rsid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</w:t>
      </w:r>
    </w:p>
    <w:p w:rsidR="00880B59" w:rsidRPr="007C74ED" w:rsidRDefault="00880B59" w:rsidP="008B050B">
      <w:pPr>
        <w:tabs>
          <w:tab w:val="num" w:pos="640"/>
        </w:tabs>
        <w:spacing w:line="360" w:lineRule="auto"/>
        <w:ind w:left="368" w:hanging="368"/>
        <w:jc w:val="both"/>
        <w:rPr>
          <w:rFonts w:ascii="Book Antiqua" w:eastAsia="Book Antiqua" w:hAnsi="Book Antiqua" w:cs="David Transparent"/>
          <w:color w:val="000000"/>
          <w:sz w:val="22"/>
          <w:szCs w:val="22"/>
          <w:rtl/>
        </w:rPr>
      </w:pP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3.</w:t>
      </w:r>
      <w:r w:rsidRPr="0057752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 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תקופת </w:t>
      </w:r>
      <w:r w:rsid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המלגה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מראשית אוקטובר </w:t>
      </w:r>
      <w:r w:rsidR="008B050B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2016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עד סוף ספטמבר </w:t>
      </w:r>
      <w:r w:rsidR="008B050B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2019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. בסוף כל אחת משלוש שנות </w:t>
      </w:r>
      <w:r w:rsid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המלגה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(עד 15 ביולי), ובאמצע השנה השנייה (</w:t>
      </w:r>
      <w:r w:rsidR="007D3CB7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עד 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15 בינואר), יגיש </w:t>
      </w:r>
      <w:r w:rsid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המלגאי</w:t>
      </w:r>
      <w:r w:rsidR="00AC559C" w:rsidRPr="00AC559C">
        <w:rPr>
          <w:rFonts w:ascii="Book Antiqua" w:eastAsia="Book Antiqua" w:hAnsi="Book Antiqua" w:cs="David Transparent"/>
          <w:color w:val="000000"/>
          <w:sz w:val="22"/>
          <w:szCs w:val="22"/>
          <w:rtl/>
        </w:rPr>
        <w:t xml:space="preserve"> </w:t>
      </w:r>
      <w:r w:rsidR="006669C2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להנהלת המרכז </w:t>
      </w:r>
      <w:r w:rsidR="00AC559C" w:rsidRPr="00AC559C">
        <w:rPr>
          <w:rFonts w:ascii="Book Antiqua" w:eastAsia="Book Antiqua" w:hAnsi="Book Antiqua" w:cs="David Transparent"/>
          <w:color w:val="000000"/>
          <w:sz w:val="22"/>
          <w:szCs w:val="22"/>
          <w:rtl/>
        </w:rPr>
        <w:t>דו"ח</w:t>
      </w:r>
      <w:r w:rsid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על פעילותו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. הדו"חות יתמקדו בהתקדמות המחקרית בתקופה הנסקרת</w:t>
      </w:r>
      <w:r w:rsidR="00562479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וביעדיו המחקריים</w:t>
      </w:r>
      <w:r w:rsidR="00AC559C" w:rsidRPr="00AC559C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.</w:t>
      </w: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 </w:t>
      </w:r>
    </w:p>
    <w:p w:rsidR="00B42101" w:rsidRDefault="00880B59" w:rsidP="001D4C0F">
      <w:pPr>
        <w:tabs>
          <w:tab w:val="num" w:pos="640"/>
        </w:tabs>
        <w:spacing w:line="360" w:lineRule="auto"/>
        <w:ind w:left="368" w:hanging="368"/>
        <w:jc w:val="both"/>
        <w:rPr>
          <w:rFonts w:eastAsia="Book Antiqua" w:cs="David Transparent"/>
          <w:color w:val="000000"/>
          <w:sz w:val="22"/>
          <w:szCs w:val="22"/>
          <w:rtl/>
        </w:rPr>
      </w:pP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4.</w:t>
      </w:r>
      <w:r w:rsidRPr="007C74ED">
        <w:rPr>
          <w:rFonts w:eastAsia="Book Antiqua" w:cs="David Transparent" w:hint="cs"/>
          <w:color w:val="000000"/>
          <w:sz w:val="22"/>
          <w:szCs w:val="22"/>
          <w:rtl/>
        </w:rPr>
        <w:t> </w:t>
      </w: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הוועדה האקדמי</w:t>
      </w:r>
      <w:r w:rsidR="007A13AE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ת </w:t>
      </w:r>
      <w:r w:rsidR="007D3CB7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של המרכז </w:t>
      </w:r>
      <w:r w:rsidR="007A13AE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מוסמכת להפסיק את פעילות המלגאי בתום השנה </w:t>
      </w: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הראשונה או השנייה, אם לא התקיימו התנאים הנ"ל (סעיפים </w:t>
      </w:r>
      <w:r w:rsidR="00B42101"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3-1</w:t>
      </w:r>
      <w:r w:rsidRPr="007C74ED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) לשביעות רצונה</w:t>
      </w:r>
      <w:r w:rsidR="00E04CC0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>.</w:t>
      </w:r>
    </w:p>
    <w:p w:rsidR="00AF0FC5" w:rsidRPr="00AF0FC5" w:rsidRDefault="00AF0FC5" w:rsidP="006669C2">
      <w:pPr>
        <w:tabs>
          <w:tab w:val="num" w:pos="640"/>
        </w:tabs>
        <w:spacing w:line="360" w:lineRule="auto"/>
        <w:ind w:left="368" w:hanging="368"/>
        <w:jc w:val="both"/>
        <w:rPr>
          <w:rFonts w:ascii="Book Antiqua" w:eastAsia="Book Antiqua" w:hAnsi="Book Antiqua" w:cs="David Transparent"/>
          <w:color w:val="000000"/>
          <w:sz w:val="22"/>
          <w:szCs w:val="22"/>
          <w:rtl/>
        </w:rPr>
      </w:pPr>
      <w:r w:rsidRPr="00AF0FC5">
        <w:rPr>
          <w:rFonts w:ascii="Book Antiqua" w:eastAsia="Book Antiqua" w:hAnsi="Book Antiqua" w:cs="David Transparent" w:hint="cs"/>
          <w:color w:val="000000"/>
          <w:sz w:val="22"/>
          <w:szCs w:val="22"/>
          <w:rtl/>
        </w:rPr>
        <w:t xml:space="preserve">5. </w:t>
      </w:r>
      <w:r w:rsidRPr="00AF0FC5">
        <w:rPr>
          <w:rFonts w:ascii="Book Antiqua" w:eastAsia="Book Antiqua" w:hAnsi="Book Antiqua" w:cs="David Transparent"/>
          <w:color w:val="000000"/>
          <w:sz w:val="22"/>
          <w:szCs w:val="22"/>
          <w:rtl/>
        </w:rPr>
        <w:t xml:space="preserve">מלגות מנדל כפופות </w:t>
      </w:r>
      <w:hyperlink r:id="rId9" w:history="1">
        <w:r w:rsidRPr="008B050B">
          <w:rPr>
            <w:rStyle w:val="Hyperlink"/>
            <w:rFonts w:ascii="Book Antiqua" w:eastAsia="Book Antiqua" w:hAnsi="Book Antiqua" w:cs="David Transparent"/>
            <w:sz w:val="22"/>
            <w:szCs w:val="22"/>
            <w:rtl/>
          </w:rPr>
          <w:t>לתקנון ה</w:t>
        </w:r>
        <w:r w:rsidR="006669C2">
          <w:rPr>
            <w:rStyle w:val="Hyperlink"/>
            <w:rFonts w:ascii="Book Antiqua" w:eastAsia="Book Antiqua" w:hAnsi="Book Antiqua" w:cs="David Transparent" w:hint="cs"/>
            <w:sz w:val="22"/>
            <w:szCs w:val="22"/>
            <w:rtl/>
          </w:rPr>
          <w:t xml:space="preserve">אוניברסיטה העברית </w:t>
        </w:r>
        <w:r w:rsidRPr="008B050B">
          <w:rPr>
            <w:rStyle w:val="Hyperlink"/>
            <w:rFonts w:ascii="Book Antiqua" w:eastAsia="Book Antiqua" w:hAnsi="Book Antiqua" w:cs="David Transparent"/>
            <w:sz w:val="22"/>
            <w:szCs w:val="22"/>
            <w:rtl/>
          </w:rPr>
          <w:t>למלגות פוסט-דוקטורט</w:t>
        </w:r>
      </w:hyperlink>
      <w:r w:rsidRPr="00AF0FC5">
        <w:rPr>
          <w:rFonts w:ascii="Book Antiqua" w:eastAsia="Book Antiqua" w:hAnsi="Book Antiqua" w:cs="David Transparent"/>
          <w:color w:val="000000"/>
          <w:sz w:val="22"/>
          <w:szCs w:val="22"/>
          <w:rtl/>
        </w:rPr>
        <w:t>.</w:t>
      </w:r>
    </w:p>
    <w:p w:rsidR="001D4C0F" w:rsidRPr="007C74ED" w:rsidRDefault="001D4C0F" w:rsidP="001D4C0F">
      <w:pPr>
        <w:tabs>
          <w:tab w:val="num" w:pos="640"/>
        </w:tabs>
        <w:spacing w:line="360" w:lineRule="auto"/>
        <w:ind w:left="368" w:hanging="368"/>
        <w:jc w:val="both"/>
        <w:rPr>
          <w:rFonts w:eastAsia="Book Antiqua" w:cs="David Transparent"/>
          <w:color w:val="000000"/>
          <w:sz w:val="22"/>
          <w:szCs w:val="22"/>
          <w:rtl/>
        </w:rPr>
      </w:pPr>
    </w:p>
    <w:p w:rsidR="001D4C0F" w:rsidRPr="001D4C0F" w:rsidRDefault="001D4C0F" w:rsidP="00BF019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num" w:pos="1440"/>
          <w:tab w:val="left" w:pos="3334"/>
        </w:tabs>
        <w:spacing w:line="360" w:lineRule="auto"/>
        <w:jc w:val="center"/>
        <w:rPr>
          <w:rFonts w:ascii="Book Antiqua" w:hAnsi="Book Antiqua" w:cs="David Transparent"/>
          <w:b/>
          <w:bCs/>
          <w:color w:val="000000"/>
          <w:sz w:val="36"/>
          <w:szCs w:val="36"/>
          <w:rtl/>
        </w:rPr>
      </w:pPr>
      <w:r w:rsidRPr="001D4C0F"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>מועד אחרון להגשת מועמדות</w:t>
      </w:r>
      <w:r w:rsidR="008624C1">
        <w:rPr>
          <w:rFonts w:ascii="Book Antiqua" w:hAnsi="Book Antiqua" w:cs="David Transparent" w:hint="cs"/>
          <w:b/>
          <w:bCs/>
          <w:color w:val="000000"/>
          <w:sz w:val="36"/>
          <w:szCs w:val="36"/>
          <w:rtl/>
        </w:rPr>
        <w:t>:</w:t>
      </w:r>
    </w:p>
    <w:p w:rsidR="001D4C0F" w:rsidRPr="001D4C0F" w:rsidRDefault="006669C2" w:rsidP="006669C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num" w:pos="1440"/>
        </w:tabs>
        <w:spacing w:line="360" w:lineRule="auto"/>
        <w:jc w:val="center"/>
        <w:rPr>
          <w:rFonts w:ascii="Book Antiqua" w:hAnsi="Book Antiqua" w:cs="David Transparent"/>
          <w:b/>
          <w:bCs/>
          <w:color w:val="000000"/>
          <w:sz w:val="36"/>
          <w:szCs w:val="36"/>
          <w:rtl/>
        </w:rPr>
      </w:pPr>
      <w:r w:rsidRPr="00181AD2">
        <w:rPr>
          <w:rFonts w:cs="David Transparent" w:hint="cs"/>
          <w:b/>
          <w:bCs/>
          <w:sz w:val="36"/>
          <w:szCs w:val="36"/>
          <w:rtl/>
        </w:rPr>
        <w:t xml:space="preserve">7 </w:t>
      </w:r>
      <w:r w:rsidR="001D4C0F" w:rsidRPr="00181AD2">
        <w:rPr>
          <w:rFonts w:cs="David Transparent" w:hint="cs"/>
          <w:b/>
          <w:bCs/>
          <w:sz w:val="36"/>
          <w:szCs w:val="36"/>
          <w:rtl/>
        </w:rPr>
        <w:t>ב</w:t>
      </w:r>
      <w:r w:rsidR="008624C1" w:rsidRPr="00181AD2">
        <w:rPr>
          <w:rFonts w:cs="David Transparent" w:hint="cs"/>
          <w:b/>
          <w:bCs/>
          <w:sz w:val="36"/>
          <w:szCs w:val="36"/>
          <w:rtl/>
        </w:rPr>
        <w:t>אוקטובר</w:t>
      </w:r>
      <w:r w:rsidR="001D4C0F" w:rsidRPr="00181AD2">
        <w:rPr>
          <w:rFonts w:cs="David Transparent" w:hint="cs"/>
          <w:b/>
          <w:bCs/>
          <w:sz w:val="36"/>
          <w:szCs w:val="36"/>
          <w:rtl/>
        </w:rPr>
        <w:t xml:space="preserve"> </w:t>
      </w:r>
      <w:r w:rsidR="00A141CF" w:rsidRPr="00181AD2">
        <w:rPr>
          <w:rFonts w:cs="David Transparent" w:hint="cs"/>
          <w:b/>
          <w:bCs/>
          <w:sz w:val="36"/>
          <w:szCs w:val="36"/>
          <w:rtl/>
        </w:rPr>
        <w:t>201</w:t>
      </w:r>
      <w:r w:rsidRPr="00181AD2">
        <w:rPr>
          <w:rFonts w:cs="David Transparent" w:hint="cs"/>
          <w:b/>
          <w:bCs/>
          <w:sz w:val="36"/>
          <w:szCs w:val="36"/>
          <w:rtl/>
        </w:rPr>
        <w:t>5</w:t>
      </w:r>
      <w:r w:rsidR="001D4C0F" w:rsidRPr="00181AD2">
        <w:rPr>
          <w:rFonts w:cs="David Transparent" w:hint="cs"/>
          <w:b/>
          <w:bCs/>
          <w:sz w:val="36"/>
          <w:szCs w:val="36"/>
          <w:rtl/>
        </w:rPr>
        <w:t xml:space="preserve">, </w:t>
      </w:r>
      <w:r w:rsidRPr="00181AD2">
        <w:rPr>
          <w:rFonts w:cs="David Transparent" w:hint="cs"/>
          <w:b/>
          <w:bCs/>
          <w:sz w:val="36"/>
          <w:szCs w:val="36"/>
          <w:rtl/>
        </w:rPr>
        <w:t xml:space="preserve">כד </w:t>
      </w:r>
      <w:r w:rsidR="00A141CF" w:rsidRPr="00181AD2">
        <w:rPr>
          <w:rFonts w:cs="David Transparent" w:hint="cs"/>
          <w:b/>
          <w:bCs/>
          <w:sz w:val="36"/>
          <w:szCs w:val="36"/>
          <w:rtl/>
        </w:rPr>
        <w:t>בתשרי</w:t>
      </w:r>
      <w:r w:rsidR="00B9097E" w:rsidRPr="00181AD2">
        <w:rPr>
          <w:rFonts w:cs="David Transparent" w:hint="cs"/>
          <w:b/>
          <w:bCs/>
          <w:sz w:val="36"/>
          <w:szCs w:val="36"/>
          <w:rtl/>
        </w:rPr>
        <w:t xml:space="preserve"> תשע"</w:t>
      </w:r>
      <w:r w:rsidRPr="00181AD2">
        <w:rPr>
          <w:rFonts w:cs="David Transparent" w:hint="cs"/>
          <w:b/>
          <w:bCs/>
          <w:sz w:val="36"/>
          <w:szCs w:val="36"/>
          <w:rtl/>
        </w:rPr>
        <w:t>ו</w:t>
      </w:r>
      <w:r w:rsidR="00B9097E">
        <w:rPr>
          <w:rFonts w:cs="David Transparent" w:hint="cs"/>
          <w:b/>
          <w:bCs/>
          <w:sz w:val="36"/>
          <w:szCs w:val="36"/>
          <w:rtl/>
        </w:rPr>
        <w:t xml:space="preserve"> </w:t>
      </w:r>
    </w:p>
    <w:p w:rsidR="00B9097E" w:rsidRDefault="00CC4E79" w:rsidP="006669C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num" w:pos="1440"/>
        </w:tabs>
        <w:spacing w:line="360" w:lineRule="auto"/>
        <w:jc w:val="center"/>
        <w:rPr>
          <w:rFonts w:ascii="Book Antiqua" w:hAnsi="Book Antiqua" w:cs="David Transparent"/>
          <w:color w:val="000000"/>
          <w:sz w:val="28"/>
          <w:szCs w:val="28"/>
          <w:rtl/>
        </w:rPr>
      </w:pPr>
      <w:r>
        <w:rPr>
          <w:rFonts w:ascii="Book Antiqua" w:hAnsi="Book Antiqua" w:cs="David Transparent" w:hint="cs"/>
          <w:color w:val="000000"/>
          <w:sz w:val="28"/>
          <w:szCs w:val="28"/>
          <w:rtl/>
        </w:rPr>
        <w:t xml:space="preserve">הגשת מועמדות באמצעות </w:t>
      </w:r>
      <w:hyperlink r:id="rId10" w:history="1">
        <w:r w:rsidR="00495CE6" w:rsidRPr="00C05E7E">
          <w:rPr>
            <w:rStyle w:val="Hyperlink"/>
            <w:rFonts w:ascii="Book Antiqua" w:hAnsi="Book Antiqua" w:cs="David Transparent" w:hint="cs"/>
            <w:sz w:val="28"/>
            <w:szCs w:val="28"/>
            <w:rtl/>
          </w:rPr>
          <w:t>המערכת להגשת מועמדות למלגות באוניברסיטה העברית</w:t>
        </w:r>
      </w:hyperlink>
      <w:r w:rsidR="00495CE6">
        <w:rPr>
          <w:rFonts w:ascii="Book Antiqua" w:hAnsi="Book Antiqua" w:cs="David Transparent" w:hint="cs"/>
          <w:color w:val="000000"/>
          <w:sz w:val="28"/>
          <w:szCs w:val="28"/>
          <w:rtl/>
        </w:rPr>
        <w:t xml:space="preserve"> </w:t>
      </w:r>
      <w:r w:rsidRPr="0077062D">
        <w:rPr>
          <w:rFonts w:ascii="Book Antiqua" w:hAnsi="Book Antiqua" w:cs="David Transparent" w:hint="cs"/>
          <w:sz w:val="28"/>
          <w:szCs w:val="28"/>
          <w:rtl/>
        </w:rPr>
        <w:t>בלבד</w:t>
      </w:r>
      <w:r w:rsidR="00C05E7E">
        <w:rPr>
          <w:rFonts w:ascii="Book Antiqua" w:hAnsi="Book Antiqua" w:cs="David Transparent" w:hint="cs"/>
          <w:sz w:val="28"/>
          <w:szCs w:val="28"/>
          <w:rtl/>
        </w:rPr>
        <w:t xml:space="preserve">. המלגה </w:t>
      </w:r>
      <w:r w:rsidR="006669C2">
        <w:rPr>
          <w:rFonts w:ascii="Book Antiqua" w:hAnsi="Book Antiqua" w:cs="David Transparent" w:hint="cs"/>
          <w:sz w:val="28"/>
          <w:szCs w:val="28"/>
          <w:rtl/>
        </w:rPr>
        <w:t>מופיעה ברשימת המלגות ב</w:t>
      </w:r>
      <w:r w:rsidR="00901D29">
        <w:rPr>
          <w:rFonts w:ascii="Book Antiqua" w:hAnsi="Book Antiqua" w:cs="David Transparent" w:hint="cs"/>
          <w:color w:val="000000"/>
          <w:sz w:val="28"/>
          <w:szCs w:val="28"/>
          <w:rtl/>
        </w:rPr>
        <w:t>מדעי הרוח</w:t>
      </w:r>
      <w:r w:rsidR="00C05E7E">
        <w:rPr>
          <w:rFonts w:ascii="Book Antiqua" w:hAnsi="Book Antiqua" w:cs="David Transparent" w:hint="cs"/>
          <w:color w:val="000000"/>
          <w:sz w:val="28"/>
          <w:szCs w:val="28"/>
          <w:rtl/>
        </w:rPr>
        <w:t>, נא לפעול לפי ההנחיות באתר.</w:t>
      </w:r>
    </w:p>
    <w:p w:rsidR="001D4C0F" w:rsidRDefault="006669C2" w:rsidP="00A9755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num" w:pos="1440"/>
        </w:tabs>
        <w:spacing w:line="360" w:lineRule="auto"/>
        <w:jc w:val="center"/>
        <w:rPr>
          <w:rFonts w:ascii="Book Antiqua" w:hAnsi="Book Antiqua" w:cs="David Transparent"/>
          <w:color w:val="000000"/>
          <w:sz w:val="28"/>
          <w:szCs w:val="28"/>
          <w:rtl/>
        </w:rPr>
      </w:pPr>
      <w:r>
        <w:rPr>
          <w:rFonts w:ascii="Book Antiqua" w:hAnsi="Book Antiqua" w:cs="David Transparent" w:hint="cs"/>
          <w:color w:val="000000"/>
          <w:sz w:val="28"/>
          <w:szCs w:val="28"/>
          <w:rtl/>
        </w:rPr>
        <w:t>עד סוף נובמבר 2015 ייבחרו המועמדים הסופיים</w:t>
      </w:r>
      <w:r w:rsidR="00A97552">
        <w:rPr>
          <w:rFonts w:ascii="Book Antiqua" w:hAnsi="Book Antiqua" w:cs="David Transparent" w:hint="cs"/>
          <w:color w:val="000000"/>
          <w:sz w:val="28"/>
          <w:szCs w:val="28"/>
          <w:rtl/>
        </w:rPr>
        <w:t xml:space="preserve">. אלה, מן הארץ ומחו"ל, יוזמנו </w:t>
      </w:r>
      <w:r w:rsidR="001D4C0F" w:rsidRPr="001D4C0F">
        <w:rPr>
          <w:rFonts w:ascii="Book Antiqua" w:hAnsi="Book Antiqua" w:cs="David Transparent" w:hint="cs"/>
          <w:color w:val="000000"/>
          <w:sz w:val="28"/>
          <w:szCs w:val="28"/>
          <w:rtl/>
        </w:rPr>
        <w:t>ל</w:t>
      </w:r>
      <w:r w:rsidR="00A97552">
        <w:rPr>
          <w:rFonts w:ascii="Book Antiqua" w:hAnsi="Book Antiqua" w:cs="David Transparent" w:hint="cs"/>
          <w:color w:val="000000"/>
          <w:sz w:val="28"/>
          <w:szCs w:val="28"/>
          <w:rtl/>
        </w:rPr>
        <w:t>בוא לאוניברסיטה העברית ביום חמיש</w:t>
      </w:r>
      <w:r w:rsidR="001728A8">
        <w:rPr>
          <w:rFonts w:ascii="Book Antiqua" w:hAnsi="Book Antiqua" w:cs="David Transparent" w:hint="cs"/>
          <w:color w:val="000000"/>
          <w:sz w:val="28"/>
          <w:szCs w:val="28"/>
          <w:rtl/>
        </w:rPr>
        <w:t>י, 31 בדצמבר 2015 (יט בטבת תשע"ו</w:t>
      </w:r>
      <w:r w:rsidR="00A97552">
        <w:rPr>
          <w:rFonts w:ascii="Book Antiqua" w:hAnsi="Book Antiqua" w:cs="David Transparent" w:hint="cs"/>
          <w:color w:val="000000"/>
          <w:sz w:val="28"/>
          <w:szCs w:val="28"/>
          <w:rtl/>
        </w:rPr>
        <w:t>), כדי לשאת הרצאה פומבית</w:t>
      </w:r>
      <w:r w:rsidR="00A97552">
        <w:rPr>
          <w:rFonts w:ascii="Book Antiqua" w:hAnsi="Book Antiqua" w:cs="David Transparent"/>
          <w:color w:val="000000"/>
          <w:sz w:val="28"/>
          <w:szCs w:val="28"/>
        </w:rPr>
        <w:t xml:space="preserve"> </w:t>
      </w:r>
      <w:r w:rsidR="00A97552">
        <w:rPr>
          <w:rFonts w:ascii="Book Antiqua" w:hAnsi="Book Antiqua" w:cs="David Transparent" w:hint="cs"/>
          <w:color w:val="000000"/>
          <w:sz w:val="28"/>
          <w:szCs w:val="28"/>
          <w:rtl/>
        </w:rPr>
        <w:t>ולהתראיין על ידי הוועדה האקדמית של המרכז.</w:t>
      </w:r>
      <w:r w:rsidR="00A97552">
        <w:rPr>
          <w:rFonts w:ascii="Book Antiqua" w:hAnsi="Book Antiqua" w:cs="David Transparent"/>
          <w:color w:val="000000"/>
          <w:sz w:val="28"/>
          <w:szCs w:val="28"/>
        </w:rPr>
        <w:t xml:space="preserve"> </w:t>
      </w:r>
    </w:p>
    <w:p w:rsidR="006669C2" w:rsidRPr="001D4C0F" w:rsidRDefault="006669C2" w:rsidP="008B050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num" w:pos="1440"/>
        </w:tabs>
        <w:spacing w:line="360" w:lineRule="auto"/>
        <w:jc w:val="center"/>
        <w:rPr>
          <w:rFonts w:cs="David Transparent"/>
          <w:sz w:val="28"/>
          <w:szCs w:val="28"/>
          <w:rtl/>
        </w:rPr>
      </w:pPr>
    </w:p>
    <w:p w:rsidR="001D4C0F" w:rsidRPr="00167D91" w:rsidRDefault="001D4C0F" w:rsidP="001D4C0F">
      <w:pPr>
        <w:bidi w:val="0"/>
        <w:rPr>
          <w:rFonts w:ascii="Arial" w:hAnsi="Arial" w:cs="David Transparent"/>
          <w:color w:val="3A0404"/>
          <w:sz w:val="18"/>
          <w:szCs w:val="18"/>
        </w:rPr>
      </w:pPr>
    </w:p>
    <w:p w:rsidR="00131DBB" w:rsidRDefault="00131DBB" w:rsidP="007A13AE">
      <w:pPr>
        <w:tabs>
          <w:tab w:val="num" w:pos="640"/>
        </w:tabs>
        <w:spacing w:before="120" w:after="120" w:line="360" w:lineRule="auto"/>
        <w:ind w:left="357" w:hanging="357"/>
        <w:jc w:val="both"/>
        <w:rPr>
          <w:rFonts w:ascii="Book Antiqua" w:hAnsi="Book Antiqua" w:cs="David Transparent"/>
          <w:color w:val="000000"/>
          <w:sz w:val="22"/>
          <w:szCs w:val="22"/>
          <w:rtl/>
        </w:rPr>
      </w:pPr>
    </w:p>
    <w:p w:rsidR="007A13AE" w:rsidRDefault="007A13AE" w:rsidP="007A13AE">
      <w:pPr>
        <w:tabs>
          <w:tab w:val="num" w:pos="640"/>
        </w:tabs>
        <w:spacing w:before="120" w:after="120" w:line="360" w:lineRule="auto"/>
        <w:ind w:left="357" w:hanging="357"/>
        <w:jc w:val="both"/>
        <w:rPr>
          <w:rFonts w:ascii="Book Antiqua" w:hAnsi="Book Antiqua" w:cs="David Transparent"/>
          <w:color w:val="000000"/>
          <w:sz w:val="22"/>
          <w:szCs w:val="22"/>
          <w:rtl/>
        </w:rPr>
      </w:pPr>
    </w:p>
    <w:p w:rsidR="000779FD" w:rsidRPr="009E5EF0" w:rsidRDefault="000779FD" w:rsidP="000779FD">
      <w:pPr>
        <w:spacing w:before="240" w:after="240"/>
        <w:jc w:val="center"/>
        <w:outlineLvl w:val="5"/>
        <w:rPr>
          <w:rFonts w:ascii="Book Antiqua" w:hAnsi="Book Antiqua" w:cs="David Transparent"/>
          <w:color w:val="000000"/>
          <w:rtl/>
        </w:rPr>
      </w:pPr>
      <w:r>
        <w:rPr>
          <w:rFonts w:ascii="Book Antiqua" w:hAnsi="Book Antiqua" w:cs="David Transparent" w:hint="cs"/>
          <w:color w:val="000000"/>
          <w:rtl/>
        </w:rPr>
        <w:t>מ</w:t>
      </w:r>
      <w:r w:rsidRPr="00E04CC0">
        <w:rPr>
          <w:rFonts w:ascii="Book Antiqua" w:hAnsi="Book Antiqua" w:cs="David Transparent" w:hint="cs"/>
          <w:color w:val="000000"/>
          <w:rtl/>
        </w:rPr>
        <w:t>ו</w:t>
      </w:r>
      <w:r w:rsidR="00B43E09">
        <w:rPr>
          <w:rFonts w:ascii="Book Antiqua" w:hAnsi="Book Antiqua" w:cs="David Transparent" w:hint="cs"/>
          <w:color w:val="000000"/>
          <w:rtl/>
        </w:rPr>
        <w:t>דעה זו מיועדת לנשים ולגברים כאחת</w:t>
      </w:r>
    </w:p>
    <w:p w:rsidR="002568CD" w:rsidRDefault="002568CD" w:rsidP="000779FD">
      <w:pPr>
        <w:tabs>
          <w:tab w:val="num" w:pos="640"/>
        </w:tabs>
        <w:spacing w:before="120" w:after="120" w:line="360" w:lineRule="auto"/>
        <w:ind w:left="357" w:hanging="357"/>
        <w:jc w:val="center"/>
        <w:rPr>
          <w:rFonts w:ascii="Book Antiqua" w:hAnsi="Book Antiqua" w:cs="David Transparent"/>
          <w:color w:val="000000"/>
          <w:sz w:val="22"/>
          <w:szCs w:val="22"/>
          <w:rtl/>
        </w:rPr>
      </w:pPr>
    </w:p>
    <w:sectPr w:rsidR="002568CD" w:rsidSect="00C646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4612A"/>
    <w:multiLevelType w:val="hybridMultilevel"/>
    <w:tmpl w:val="960AA156"/>
    <w:lvl w:ilvl="0" w:tplc="0D2C8CF2"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eastAsia="Wingdings" w:hAnsi="Wingdings" w:cs="Wingdings" w:hint="default"/>
        <w:sz w:val="22"/>
        <w:szCs w:val="22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3B049E"/>
    <w:multiLevelType w:val="hybridMultilevel"/>
    <w:tmpl w:val="98EC2C7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B6774"/>
    <w:rsid w:val="000026AD"/>
    <w:rsid w:val="0000781E"/>
    <w:rsid w:val="00026152"/>
    <w:rsid w:val="0002687C"/>
    <w:rsid w:val="00041771"/>
    <w:rsid w:val="00054A55"/>
    <w:rsid w:val="00055D7E"/>
    <w:rsid w:val="00061D63"/>
    <w:rsid w:val="00063B7F"/>
    <w:rsid w:val="00067358"/>
    <w:rsid w:val="000749BA"/>
    <w:rsid w:val="0007564C"/>
    <w:rsid w:val="00076533"/>
    <w:rsid w:val="000779FD"/>
    <w:rsid w:val="000946C4"/>
    <w:rsid w:val="000950E3"/>
    <w:rsid w:val="000A1588"/>
    <w:rsid w:val="000A25AE"/>
    <w:rsid w:val="000A636D"/>
    <w:rsid w:val="000A70D2"/>
    <w:rsid w:val="000C7BC4"/>
    <w:rsid w:val="000D2043"/>
    <w:rsid w:val="000E743C"/>
    <w:rsid w:val="000F724E"/>
    <w:rsid w:val="00105878"/>
    <w:rsid w:val="00111964"/>
    <w:rsid w:val="00114021"/>
    <w:rsid w:val="001203C3"/>
    <w:rsid w:val="00127D86"/>
    <w:rsid w:val="00131DBB"/>
    <w:rsid w:val="0015003D"/>
    <w:rsid w:val="00153C8F"/>
    <w:rsid w:val="001559ED"/>
    <w:rsid w:val="00167D91"/>
    <w:rsid w:val="001728A8"/>
    <w:rsid w:val="00181AD2"/>
    <w:rsid w:val="00193BC3"/>
    <w:rsid w:val="001C46D4"/>
    <w:rsid w:val="001D4C0F"/>
    <w:rsid w:val="001E4683"/>
    <w:rsid w:val="001E4BA3"/>
    <w:rsid w:val="001E53D2"/>
    <w:rsid w:val="001F1144"/>
    <w:rsid w:val="00210245"/>
    <w:rsid w:val="00232806"/>
    <w:rsid w:val="002416B6"/>
    <w:rsid w:val="00247544"/>
    <w:rsid w:val="00253F8E"/>
    <w:rsid w:val="002568CD"/>
    <w:rsid w:val="0026607F"/>
    <w:rsid w:val="00266B77"/>
    <w:rsid w:val="00267948"/>
    <w:rsid w:val="00267C63"/>
    <w:rsid w:val="0027253E"/>
    <w:rsid w:val="00274EFC"/>
    <w:rsid w:val="002956E8"/>
    <w:rsid w:val="002B03C9"/>
    <w:rsid w:val="002D4C9D"/>
    <w:rsid w:val="002F7AED"/>
    <w:rsid w:val="00304D9E"/>
    <w:rsid w:val="00310099"/>
    <w:rsid w:val="00316B29"/>
    <w:rsid w:val="00331274"/>
    <w:rsid w:val="00364F0D"/>
    <w:rsid w:val="00381583"/>
    <w:rsid w:val="0038718D"/>
    <w:rsid w:val="00392881"/>
    <w:rsid w:val="003A6DBF"/>
    <w:rsid w:val="003B37EE"/>
    <w:rsid w:val="003B5522"/>
    <w:rsid w:val="003B5DFF"/>
    <w:rsid w:val="003C4E6C"/>
    <w:rsid w:val="003D279E"/>
    <w:rsid w:val="00403367"/>
    <w:rsid w:val="004120FE"/>
    <w:rsid w:val="00414788"/>
    <w:rsid w:val="004153A8"/>
    <w:rsid w:val="004422EA"/>
    <w:rsid w:val="00463819"/>
    <w:rsid w:val="00464AE7"/>
    <w:rsid w:val="004672F9"/>
    <w:rsid w:val="004832F3"/>
    <w:rsid w:val="00484FB8"/>
    <w:rsid w:val="00495CE6"/>
    <w:rsid w:val="004B6AB4"/>
    <w:rsid w:val="004C7ED9"/>
    <w:rsid w:val="004E468D"/>
    <w:rsid w:val="004F123C"/>
    <w:rsid w:val="004F2411"/>
    <w:rsid w:val="004F2943"/>
    <w:rsid w:val="005062B0"/>
    <w:rsid w:val="0052094F"/>
    <w:rsid w:val="005308F9"/>
    <w:rsid w:val="005523A0"/>
    <w:rsid w:val="00552638"/>
    <w:rsid w:val="00562479"/>
    <w:rsid w:val="00577445"/>
    <w:rsid w:val="0057752D"/>
    <w:rsid w:val="005803F6"/>
    <w:rsid w:val="00587FFC"/>
    <w:rsid w:val="00590AE4"/>
    <w:rsid w:val="005B34C9"/>
    <w:rsid w:val="005C6819"/>
    <w:rsid w:val="005E783A"/>
    <w:rsid w:val="00600640"/>
    <w:rsid w:val="0061308A"/>
    <w:rsid w:val="00632CA3"/>
    <w:rsid w:val="00637491"/>
    <w:rsid w:val="00654793"/>
    <w:rsid w:val="00656358"/>
    <w:rsid w:val="006669C2"/>
    <w:rsid w:val="00672314"/>
    <w:rsid w:val="00672A76"/>
    <w:rsid w:val="00676615"/>
    <w:rsid w:val="00683AAC"/>
    <w:rsid w:val="00690E0D"/>
    <w:rsid w:val="00697533"/>
    <w:rsid w:val="006A2391"/>
    <w:rsid w:val="006B623D"/>
    <w:rsid w:val="006D01BB"/>
    <w:rsid w:val="006D3B70"/>
    <w:rsid w:val="006D3D55"/>
    <w:rsid w:val="006D4C55"/>
    <w:rsid w:val="006D7DC4"/>
    <w:rsid w:val="006F009A"/>
    <w:rsid w:val="006F2131"/>
    <w:rsid w:val="006F400F"/>
    <w:rsid w:val="006F5831"/>
    <w:rsid w:val="00706903"/>
    <w:rsid w:val="00710C8F"/>
    <w:rsid w:val="00711A03"/>
    <w:rsid w:val="007136A1"/>
    <w:rsid w:val="00725D0A"/>
    <w:rsid w:val="007323B0"/>
    <w:rsid w:val="00735A19"/>
    <w:rsid w:val="00742A98"/>
    <w:rsid w:val="0075061E"/>
    <w:rsid w:val="00750CBD"/>
    <w:rsid w:val="00757D7A"/>
    <w:rsid w:val="007606C1"/>
    <w:rsid w:val="00766B0E"/>
    <w:rsid w:val="007673B9"/>
    <w:rsid w:val="0077062D"/>
    <w:rsid w:val="00770F47"/>
    <w:rsid w:val="00771B96"/>
    <w:rsid w:val="007726BE"/>
    <w:rsid w:val="0077388F"/>
    <w:rsid w:val="0077501D"/>
    <w:rsid w:val="007800A3"/>
    <w:rsid w:val="00785794"/>
    <w:rsid w:val="00787D9B"/>
    <w:rsid w:val="0079008C"/>
    <w:rsid w:val="00795695"/>
    <w:rsid w:val="007A0275"/>
    <w:rsid w:val="007A13AE"/>
    <w:rsid w:val="007C2563"/>
    <w:rsid w:val="007C74ED"/>
    <w:rsid w:val="007D0296"/>
    <w:rsid w:val="007D3CB7"/>
    <w:rsid w:val="007D7BDA"/>
    <w:rsid w:val="007E6706"/>
    <w:rsid w:val="007F233F"/>
    <w:rsid w:val="00806DB3"/>
    <w:rsid w:val="00810691"/>
    <w:rsid w:val="00810E10"/>
    <w:rsid w:val="00811FFE"/>
    <w:rsid w:val="00830ACD"/>
    <w:rsid w:val="00831067"/>
    <w:rsid w:val="0085414F"/>
    <w:rsid w:val="008624C1"/>
    <w:rsid w:val="00880B59"/>
    <w:rsid w:val="00882142"/>
    <w:rsid w:val="00884103"/>
    <w:rsid w:val="008B050B"/>
    <w:rsid w:val="00901D29"/>
    <w:rsid w:val="00913488"/>
    <w:rsid w:val="00920101"/>
    <w:rsid w:val="00936E8A"/>
    <w:rsid w:val="00941242"/>
    <w:rsid w:val="00941B23"/>
    <w:rsid w:val="009455A0"/>
    <w:rsid w:val="009468FB"/>
    <w:rsid w:val="009711D4"/>
    <w:rsid w:val="00973EFC"/>
    <w:rsid w:val="0097542E"/>
    <w:rsid w:val="00995780"/>
    <w:rsid w:val="009974F2"/>
    <w:rsid w:val="009A4046"/>
    <w:rsid w:val="009A4E40"/>
    <w:rsid w:val="009A64B2"/>
    <w:rsid w:val="009B6774"/>
    <w:rsid w:val="009C2D8B"/>
    <w:rsid w:val="009E3B2B"/>
    <w:rsid w:val="009E5EF0"/>
    <w:rsid w:val="009F06A5"/>
    <w:rsid w:val="009F23E6"/>
    <w:rsid w:val="009F2F9A"/>
    <w:rsid w:val="00A07B1E"/>
    <w:rsid w:val="00A141CF"/>
    <w:rsid w:val="00A169BC"/>
    <w:rsid w:val="00A23C54"/>
    <w:rsid w:val="00A42207"/>
    <w:rsid w:val="00A44868"/>
    <w:rsid w:val="00A5431A"/>
    <w:rsid w:val="00A60ED5"/>
    <w:rsid w:val="00A617BA"/>
    <w:rsid w:val="00A707FE"/>
    <w:rsid w:val="00A70F4A"/>
    <w:rsid w:val="00A72B8A"/>
    <w:rsid w:val="00A870B1"/>
    <w:rsid w:val="00A87F1A"/>
    <w:rsid w:val="00A95B77"/>
    <w:rsid w:val="00A97552"/>
    <w:rsid w:val="00AB4C86"/>
    <w:rsid w:val="00AC410F"/>
    <w:rsid w:val="00AC559C"/>
    <w:rsid w:val="00AC59E0"/>
    <w:rsid w:val="00AD3801"/>
    <w:rsid w:val="00AE1969"/>
    <w:rsid w:val="00AE4317"/>
    <w:rsid w:val="00AE4608"/>
    <w:rsid w:val="00AF0FC5"/>
    <w:rsid w:val="00AF1510"/>
    <w:rsid w:val="00AF206C"/>
    <w:rsid w:val="00B02408"/>
    <w:rsid w:val="00B06231"/>
    <w:rsid w:val="00B07994"/>
    <w:rsid w:val="00B113CB"/>
    <w:rsid w:val="00B2146A"/>
    <w:rsid w:val="00B22247"/>
    <w:rsid w:val="00B31634"/>
    <w:rsid w:val="00B3639A"/>
    <w:rsid w:val="00B42101"/>
    <w:rsid w:val="00B43E09"/>
    <w:rsid w:val="00B479C1"/>
    <w:rsid w:val="00B5059F"/>
    <w:rsid w:val="00B52330"/>
    <w:rsid w:val="00B544D2"/>
    <w:rsid w:val="00B62C9A"/>
    <w:rsid w:val="00B762A2"/>
    <w:rsid w:val="00B769B3"/>
    <w:rsid w:val="00B77736"/>
    <w:rsid w:val="00B86A05"/>
    <w:rsid w:val="00B9097E"/>
    <w:rsid w:val="00B953E7"/>
    <w:rsid w:val="00BA65F1"/>
    <w:rsid w:val="00BB7702"/>
    <w:rsid w:val="00BC26A3"/>
    <w:rsid w:val="00BC3150"/>
    <w:rsid w:val="00BE0DDC"/>
    <w:rsid w:val="00BF0193"/>
    <w:rsid w:val="00BF0841"/>
    <w:rsid w:val="00BF750D"/>
    <w:rsid w:val="00C05E7E"/>
    <w:rsid w:val="00C304ED"/>
    <w:rsid w:val="00C33EA1"/>
    <w:rsid w:val="00C36925"/>
    <w:rsid w:val="00C42CE8"/>
    <w:rsid w:val="00C6094E"/>
    <w:rsid w:val="00C6462C"/>
    <w:rsid w:val="00C65DD8"/>
    <w:rsid w:val="00C742F0"/>
    <w:rsid w:val="00C85BB7"/>
    <w:rsid w:val="00C91A7F"/>
    <w:rsid w:val="00C9200E"/>
    <w:rsid w:val="00C95A37"/>
    <w:rsid w:val="00CA0BDE"/>
    <w:rsid w:val="00CA5501"/>
    <w:rsid w:val="00CB0CAD"/>
    <w:rsid w:val="00CB134E"/>
    <w:rsid w:val="00CC22BD"/>
    <w:rsid w:val="00CC4E79"/>
    <w:rsid w:val="00CC5E32"/>
    <w:rsid w:val="00CC6301"/>
    <w:rsid w:val="00CC71EF"/>
    <w:rsid w:val="00CC7D03"/>
    <w:rsid w:val="00CE1F4D"/>
    <w:rsid w:val="00CE2BF6"/>
    <w:rsid w:val="00D001C1"/>
    <w:rsid w:val="00D006FE"/>
    <w:rsid w:val="00D01379"/>
    <w:rsid w:val="00D0234D"/>
    <w:rsid w:val="00D04583"/>
    <w:rsid w:val="00D0517C"/>
    <w:rsid w:val="00D07C46"/>
    <w:rsid w:val="00D11D0E"/>
    <w:rsid w:val="00D13073"/>
    <w:rsid w:val="00D21FD9"/>
    <w:rsid w:val="00D27648"/>
    <w:rsid w:val="00D30B2C"/>
    <w:rsid w:val="00D3759B"/>
    <w:rsid w:val="00D50223"/>
    <w:rsid w:val="00D536D3"/>
    <w:rsid w:val="00D557F2"/>
    <w:rsid w:val="00D601EE"/>
    <w:rsid w:val="00D62032"/>
    <w:rsid w:val="00D8027B"/>
    <w:rsid w:val="00D968E8"/>
    <w:rsid w:val="00D97D59"/>
    <w:rsid w:val="00DA6F1C"/>
    <w:rsid w:val="00DB0F89"/>
    <w:rsid w:val="00DC5C06"/>
    <w:rsid w:val="00DD7B45"/>
    <w:rsid w:val="00DE3955"/>
    <w:rsid w:val="00E01FEA"/>
    <w:rsid w:val="00E02EE5"/>
    <w:rsid w:val="00E04CC0"/>
    <w:rsid w:val="00E04FB1"/>
    <w:rsid w:val="00E06EE4"/>
    <w:rsid w:val="00E31E01"/>
    <w:rsid w:val="00E32903"/>
    <w:rsid w:val="00E4144E"/>
    <w:rsid w:val="00E463B0"/>
    <w:rsid w:val="00E56F9E"/>
    <w:rsid w:val="00E631A5"/>
    <w:rsid w:val="00E82465"/>
    <w:rsid w:val="00EA25DD"/>
    <w:rsid w:val="00EC33F3"/>
    <w:rsid w:val="00ED229D"/>
    <w:rsid w:val="00EE3036"/>
    <w:rsid w:val="00EF1AC6"/>
    <w:rsid w:val="00F07574"/>
    <w:rsid w:val="00F10952"/>
    <w:rsid w:val="00F109EA"/>
    <w:rsid w:val="00F16F5C"/>
    <w:rsid w:val="00F201D5"/>
    <w:rsid w:val="00F23B02"/>
    <w:rsid w:val="00F257C4"/>
    <w:rsid w:val="00F411D8"/>
    <w:rsid w:val="00F51556"/>
    <w:rsid w:val="00F56ACD"/>
    <w:rsid w:val="00F6124C"/>
    <w:rsid w:val="00F71A14"/>
    <w:rsid w:val="00F76786"/>
    <w:rsid w:val="00F9151A"/>
    <w:rsid w:val="00F93DD7"/>
    <w:rsid w:val="00F9750D"/>
    <w:rsid w:val="00FA237F"/>
    <w:rsid w:val="00FB42DC"/>
    <w:rsid w:val="00FD11B7"/>
    <w:rsid w:val="00FE41F8"/>
    <w:rsid w:val="00FE626A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B9CD4D-AF78-40A1-8B6E-371AF0ED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8E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qFormat/>
    <w:rsid w:val="009B6774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9B6774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80B5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qFormat/>
    <w:rsid w:val="009B6774"/>
    <w:pPr>
      <w:bidi w:val="0"/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ins0">
    <w:name w:val="msoins"/>
    <w:basedOn w:val="DefaultParagraphFont"/>
    <w:rsid w:val="009B6774"/>
  </w:style>
  <w:style w:type="table" w:styleId="TableGrid">
    <w:name w:val="Table Grid"/>
    <w:basedOn w:val="TableNormal"/>
    <w:rsid w:val="00131DB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1A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41B23"/>
    <w:pPr>
      <w:tabs>
        <w:tab w:val="center" w:pos="4153"/>
        <w:tab w:val="right" w:pos="8306"/>
      </w:tabs>
      <w:autoSpaceDE w:val="0"/>
      <w:autoSpaceDN w:val="0"/>
    </w:pPr>
    <w:rPr>
      <w:rFonts w:cs="Times New Roman"/>
      <w:lang w:eastAsia="he-IL"/>
    </w:rPr>
  </w:style>
  <w:style w:type="character" w:styleId="Hyperlink">
    <w:name w:val="Hyperlink"/>
    <w:basedOn w:val="DefaultParagraphFont"/>
    <w:rsid w:val="00B9097E"/>
    <w:rPr>
      <w:color w:val="0000FF" w:themeColor="hyperlink"/>
      <w:u w:val="single"/>
    </w:rPr>
  </w:style>
  <w:style w:type="character" w:customStyle="1" w:styleId="ms-rtethemefontface-2">
    <w:name w:val="ms-rtethemefontface-2"/>
    <w:basedOn w:val="DefaultParagraphFont"/>
    <w:rsid w:val="002568CD"/>
  </w:style>
  <w:style w:type="character" w:styleId="Strong">
    <w:name w:val="Strong"/>
    <w:basedOn w:val="DefaultParagraphFont"/>
    <w:uiPriority w:val="22"/>
    <w:qFormat/>
    <w:rsid w:val="00BF750D"/>
    <w:rPr>
      <w:b/>
      <w:bCs/>
    </w:rPr>
  </w:style>
  <w:style w:type="character" w:styleId="FollowedHyperlink">
    <w:name w:val="FollowedHyperlink"/>
    <w:basedOn w:val="DefaultParagraphFont"/>
    <w:rsid w:val="00495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1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1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15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75145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305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72733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4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1260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892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0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0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2467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1440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77646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265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3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2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8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8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07577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68297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5674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9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3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07069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2176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0758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ships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c-secretary.huji.ac.il/?cmd=regulations.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45AA-D6B2-4F03-B608-118F061F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363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סכוליון - מרכז למחקר רב תחומי בלימודי היהדות</vt:lpstr>
      <vt:lpstr>סכוליון - מרכז למחקר רב תחומי בלימודי היהדות</vt:lpstr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סכוליון - מרכז למחקר רב תחומי בלימודי היהדות</dc:title>
  <dc:creator>Huji</dc:creator>
  <cp:lastModifiedBy>Maya Sherman</cp:lastModifiedBy>
  <cp:revision>36</cp:revision>
  <cp:lastPrinted>2014-08-13T06:06:00Z</cp:lastPrinted>
  <dcterms:created xsi:type="dcterms:W3CDTF">2012-05-28T08:03:00Z</dcterms:created>
  <dcterms:modified xsi:type="dcterms:W3CDTF">2015-08-13T09:11:00Z</dcterms:modified>
</cp:coreProperties>
</file>